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60" w:type="dxa"/>
        <w:tblInd w:w="-702" w:type="dxa"/>
        <w:tblLook w:val="04A0"/>
      </w:tblPr>
      <w:tblGrid>
        <w:gridCol w:w="1080"/>
        <w:gridCol w:w="1260"/>
        <w:gridCol w:w="2880"/>
        <w:gridCol w:w="1807"/>
        <w:gridCol w:w="713"/>
        <w:gridCol w:w="2610"/>
        <w:gridCol w:w="3510"/>
      </w:tblGrid>
      <w:tr w:rsidR="00B72669" w:rsidTr="00B72669">
        <w:tc>
          <w:tcPr>
            <w:tcW w:w="13860" w:type="dxa"/>
            <w:gridSpan w:val="7"/>
            <w:tcBorders>
              <w:bottom w:val="single" w:sz="4" w:space="0" w:color="auto"/>
            </w:tcBorders>
            <w:shd w:val="clear" w:color="auto" w:fill="008080"/>
          </w:tcPr>
          <w:p w:rsidR="00B72669" w:rsidRPr="00D927B8" w:rsidRDefault="00B72669" w:rsidP="00023251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B72669" w:rsidRPr="008D60E4" w:rsidRDefault="00B72669" w:rsidP="00023251">
            <w:pPr>
              <w:spacing w:after="120"/>
              <w:jc w:val="center"/>
              <w:rPr>
                <w:rFonts w:asciiTheme="majorHAnsi" w:hAnsiTheme="majorHAnsi"/>
                <w:smallCaps/>
              </w:rPr>
            </w:pPr>
            <w:r>
              <w:rPr>
                <w:rFonts w:asciiTheme="majorHAnsi" w:hAnsiTheme="majorHAnsi"/>
                <w:smallCaps/>
                <w:color w:val="FFFFFF" w:themeColor="background1"/>
              </w:rPr>
              <w:t>LESSON S</w:t>
            </w:r>
            <w:r w:rsidRPr="008D60E4">
              <w:rPr>
                <w:rFonts w:asciiTheme="majorHAnsi" w:hAnsiTheme="majorHAnsi"/>
                <w:smallCaps/>
                <w:color w:val="FFFFFF" w:themeColor="background1"/>
              </w:rPr>
              <w:t>EED</w:t>
            </w:r>
          </w:p>
        </w:tc>
      </w:tr>
      <w:tr w:rsidR="00B72669" w:rsidTr="00B72669">
        <w:tc>
          <w:tcPr>
            <w:tcW w:w="7027" w:type="dxa"/>
            <w:gridSpan w:val="4"/>
            <w:shd w:val="clear" w:color="auto" w:fill="F3F3F3"/>
          </w:tcPr>
          <w:p w:rsidR="00B72669" w:rsidRPr="00736226" w:rsidRDefault="00B72669" w:rsidP="00023251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Your Name: Joe </w:t>
            </w:r>
            <w:proofErr w:type="spellStart"/>
            <w:r>
              <w:rPr>
                <w:rFonts w:asciiTheme="majorHAnsi" w:hAnsiTheme="majorHAnsi"/>
                <w:sz w:val="14"/>
                <w:szCs w:val="14"/>
              </w:rPr>
              <w:t>Eassa</w:t>
            </w:r>
            <w:proofErr w:type="spellEnd"/>
          </w:p>
        </w:tc>
        <w:tc>
          <w:tcPr>
            <w:tcW w:w="6833" w:type="dxa"/>
            <w:gridSpan w:val="3"/>
            <w:shd w:val="clear" w:color="auto" w:fill="F3F3F3"/>
          </w:tcPr>
          <w:p w:rsidR="00B72669" w:rsidRPr="00736226" w:rsidRDefault="00B72669" w:rsidP="00023251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6</w:t>
            </w:r>
          </w:p>
        </w:tc>
      </w:tr>
      <w:tr w:rsidR="00B72669" w:rsidTr="00B72669">
        <w:tc>
          <w:tcPr>
            <w:tcW w:w="13860" w:type="dxa"/>
            <w:gridSpan w:val="7"/>
            <w:shd w:val="clear" w:color="auto" w:fill="F3F3F3"/>
          </w:tcPr>
          <w:p w:rsidR="00B72669" w:rsidRPr="00145278" w:rsidRDefault="00B72669" w:rsidP="00023251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B72669" w:rsidTr="00B72669">
        <w:tc>
          <w:tcPr>
            <w:tcW w:w="13860" w:type="dxa"/>
            <w:gridSpan w:val="7"/>
            <w:shd w:val="clear" w:color="auto" w:fill="F3F3F3"/>
          </w:tcPr>
          <w:p w:rsidR="00B72669" w:rsidRPr="00690959" w:rsidRDefault="00B72669" w:rsidP="00405210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Vocabulary Review </w:t>
            </w:r>
            <w:r w:rsidR="00405210">
              <w:rPr>
                <w:rFonts w:asciiTheme="majorHAnsi" w:hAnsiTheme="majorHAnsi"/>
                <w:sz w:val="14"/>
                <w:szCs w:val="14"/>
              </w:rPr>
              <w:t>visual arts</w:t>
            </w:r>
          </w:p>
        </w:tc>
      </w:tr>
      <w:tr w:rsidR="00B72669" w:rsidTr="00B72669">
        <w:trPr>
          <w:trHeight w:val="737"/>
        </w:trPr>
        <w:tc>
          <w:tcPr>
            <w:tcW w:w="1080" w:type="dxa"/>
            <w:vMerge w:val="restart"/>
            <w:vAlign w:val="center"/>
          </w:tcPr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MD State Curriculum</w:t>
            </w:r>
          </w:p>
        </w:tc>
        <w:tc>
          <w:tcPr>
            <w:tcW w:w="1260" w:type="dxa"/>
            <w:vAlign w:val="center"/>
          </w:tcPr>
          <w:p w:rsidR="00B72669" w:rsidRPr="00801799" w:rsidRDefault="00B72669" w:rsidP="00023251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11520" w:type="dxa"/>
            <w:gridSpan w:val="5"/>
            <w:vAlign w:val="center"/>
          </w:tcPr>
          <w:p w:rsidR="00B72669" w:rsidRPr="000048EE" w:rsidRDefault="00B72669" w:rsidP="00023251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Standard </w:t>
            </w:r>
          </w:p>
          <w:p w:rsidR="00B72669" w:rsidRPr="000048EE" w:rsidRDefault="00B72669" w:rsidP="00023251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Indicator </w:t>
            </w:r>
          </w:p>
          <w:p w:rsidR="00B72669" w:rsidRDefault="00B72669" w:rsidP="00023251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</w:t>
            </w:r>
          </w:p>
          <w:p w:rsidR="00B72669" w:rsidRDefault="00405210" w:rsidP="00023251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6.1.1.</w:t>
            </w:r>
          </w:p>
          <w:p w:rsidR="00B72669" w:rsidRDefault="00B72669" w:rsidP="00023251">
            <w:pPr>
              <w:rPr>
                <w:rFonts w:asciiTheme="majorHAnsi" w:hAnsiTheme="majorHAnsi"/>
                <w:sz w:val="14"/>
                <w:szCs w:val="14"/>
              </w:rPr>
            </w:pPr>
            <w:bookmarkStart w:id="0" w:name="_GoBack"/>
            <w:bookmarkEnd w:id="0"/>
          </w:p>
          <w:p w:rsidR="00B72669" w:rsidRDefault="00405210" w:rsidP="00023251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Style w:val="indicatorvalue"/>
                <w:rFonts w:ascii="Verdana" w:hAnsi="Verdana" w:cs="Arial"/>
                <w:color w:val="616161"/>
                <w:sz w:val="17"/>
                <w:szCs w:val="17"/>
              </w:rPr>
              <w:t xml:space="preserve">Identify, </w:t>
            </w:r>
            <w:hyperlink r:id="rId4" w:history="1">
              <w:r>
                <w:rPr>
                  <w:rStyle w:val="Hyperlink"/>
                  <w:rFonts w:ascii="Verdana" w:hAnsi="Verdana" w:cs="Arial"/>
                  <w:sz w:val="17"/>
                  <w:szCs w:val="17"/>
                </w:rPr>
                <w:t>describe</w:t>
              </w:r>
            </w:hyperlink>
            <w:r>
              <w:rPr>
                <w:rStyle w:val="indicatorvalue"/>
                <w:rFonts w:ascii="Verdana" w:hAnsi="Verdana" w:cs="Arial"/>
                <w:color w:val="616161"/>
                <w:sz w:val="17"/>
                <w:szCs w:val="17"/>
              </w:rPr>
              <w:t xml:space="preserve">, </w:t>
            </w:r>
            <w:hyperlink r:id="rId5" w:history="1">
              <w:r>
                <w:rPr>
                  <w:rStyle w:val="Hyperlink"/>
                  <w:rFonts w:ascii="Verdana" w:hAnsi="Verdana" w:cs="Arial"/>
                  <w:sz w:val="17"/>
                  <w:szCs w:val="17"/>
                </w:rPr>
                <w:t>interpret</w:t>
              </w:r>
            </w:hyperlink>
            <w:r>
              <w:rPr>
                <w:rStyle w:val="indicatorvalue"/>
                <w:rFonts w:ascii="Verdana" w:hAnsi="Verdana" w:cs="Arial"/>
                <w:color w:val="616161"/>
                <w:sz w:val="17"/>
                <w:szCs w:val="17"/>
              </w:rPr>
              <w:t xml:space="preserve">, and produce visual representations of the </w:t>
            </w:r>
            <w:hyperlink r:id="rId6" w:history="1">
              <w:r>
                <w:rPr>
                  <w:rStyle w:val="Hyperlink"/>
                  <w:rFonts w:ascii="Verdana" w:hAnsi="Verdana" w:cs="Arial"/>
                  <w:sz w:val="17"/>
                  <w:szCs w:val="17"/>
                </w:rPr>
                <w:t>physical qualities</w:t>
              </w:r>
            </w:hyperlink>
            <w:r>
              <w:rPr>
                <w:rStyle w:val="indicatorvalue"/>
                <w:rFonts w:ascii="Verdana" w:hAnsi="Verdana" w:cs="Arial"/>
                <w:color w:val="616161"/>
                <w:sz w:val="17"/>
                <w:szCs w:val="17"/>
              </w:rPr>
              <w:t xml:space="preserve"> of </w:t>
            </w:r>
            <w:hyperlink r:id="rId7" w:history="1">
              <w:r>
                <w:rPr>
                  <w:rStyle w:val="Hyperlink"/>
                  <w:rFonts w:ascii="Verdana" w:hAnsi="Verdana" w:cs="Arial"/>
                  <w:sz w:val="17"/>
                  <w:szCs w:val="17"/>
                </w:rPr>
                <w:t>observed form</w:t>
              </w:r>
            </w:hyperlink>
          </w:p>
          <w:p w:rsidR="00B72669" w:rsidRPr="00690959" w:rsidRDefault="00B72669" w:rsidP="00023251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B72669" w:rsidTr="00B72669">
        <w:trPr>
          <w:trHeight w:val="620"/>
        </w:trPr>
        <w:tc>
          <w:tcPr>
            <w:tcW w:w="1080" w:type="dxa"/>
            <w:vMerge/>
          </w:tcPr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72669" w:rsidRDefault="00B72669" w:rsidP="00023251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B72669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520" w:type="dxa"/>
            <w:gridSpan w:val="5"/>
          </w:tcPr>
          <w:p w:rsidR="00B72669" w:rsidRDefault="00B72669" w:rsidP="00023251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B72669" w:rsidRDefault="00B72669" w:rsidP="00B72669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 6L.1.4 </w:t>
            </w:r>
          </w:p>
          <w:p w:rsidR="00B72669" w:rsidRDefault="00B72669" w:rsidP="00B72669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B72669">
            <w:pPr>
              <w:autoSpaceDE w:val="0"/>
              <w:autoSpaceDN w:val="0"/>
              <w:adjustRightInd w:val="0"/>
              <w:rPr>
                <w:rFonts w:ascii="Gotham-Book" w:eastAsiaTheme="minorHAnsi" w:hAnsi="Gotham-Book" w:cs="Gotham-Book"/>
                <w:sz w:val="15"/>
                <w:szCs w:val="15"/>
              </w:rPr>
            </w:pPr>
            <w:r>
              <w:rPr>
                <w:rFonts w:ascii="Gotham-Book" w:eastAsiaTheme="minorHAnsi" w:hAnsi="Gotham-Book" w:cs="Gotham-Book"/>
                <w:sz w:val="15"/>
                <w:szCs w:val="15"/>
              </w:rPr>
              <w:t>Determine the meaning of words and phrases as</w:t>
            </w:r>
          </w:p>
          <w:p w:rsidR="00B72669" w:rsidRDefault="00B72669" w:rsidP="00B72669">
            <w:pPr>
              <w:autoSpaceDE w:val="0"/>
              <w:autoSpaceDN w:val="0"/>
              <w:adjustRightInd w:val="0"/>
              <w:rPr>
                <w:rFonts w:ascii="Gotham-Book" w:eastAsiaTheme="minorHAnsi" w:hAnsi="Gotham-Book" w:cs="Gotham-Book"/>
                <w:sz w:val="15"/>
                <w:szCs w:val="15"/>
              </w:rPr>
            </w:pPr>
            <w:r>
              <w:rPr>
                <w:rFonts w:ascii="Gotham-Book" w:eastAsiaTheme="minorHAnsi" w:hAnsi="Gotham-Book" w:cs="Gotham-Book"/>
                <w:sz w:val="15"/>
                <w:szCs w:val="15"/>
              </w:rPr>
              <w:t>they are used in a text, including figurative and</w:t>
            </w:r>
          </w:p>
          <w:p w:rsidR="00B72669" w:rsidRDefault="00B72669" w:rsidP="00B72669">
            <w:pPr>
              <w:autoSpaceDE w:val="0"/>
              <w:autoSpaceDN w:val="0"/>
              <w:adjustRightInd w:val="0"/>
              <w:rPr>
                <w:rFonts w:ascii="Gotham-Book" w:eastAsiaTheme="minorHAnsi" w:hAnsi="Gotham-Book" w:cs="Gotham-Book"/>
                <w:sz w:val="15"/>
                <w:szCs w:val="15"/>
              </w:rPr>
            </w:pPr>
            <w:r>
              <w:rPr>
                <w:rFonts w:ascii="Gotham-Book" w:eastAsiaTheme="minorHAnsi" w:hAnsi="Gotham-Book" w:cs="Gotham-Book"/>
                <w:sz w:val="15"/>
                <w:szCs w:val="15"/>
              </w:rPr>
              <w:t>connotative meanings; analyze the impact of a</w:t>
            </w:r>
          </w:p>
          <w:p w:rsidR="00B72669" w:rsidRDefault="00B72669" w:rsidP="00B72669">
            <w:pPr>
              <w:rPr>
                <w:rFonts w:asciiTheme="majorHAnsi" w:hAnsiTheme="majorHAnsi"/>
                <w:sz w:val="14"/>
                <w:szCs w:val="14"/>
              </w:rPr>
            </w:pPr>
            <w:proofErr w:type="gramStart"/>
            <w:r>
              <w:rPr>
                <w:rFonts w:ascii="Gotham-Book" w:eastAsiaTheme="minorHAnsi" w:hAnsi="Gotham-Book" w:cs="Gotham-Book"/>
                <w:sz w:val="15"/>
                <w:szCs w:val="15"/>
              </w:rPr>
              <w:t>specific</w:t>
            </w:r>
            <w:proofErr w:type="gramEnd"/>
            <w:r>
              <w:rPr>
                <w:rFonts w:ascii="Gotham-Book" w:eastAsiaTheme="minorHAnsi" w:hAnsi="Gotham-Book" w:cs="Gotham-Book"/>
                <w:sz w:val="15"/>
                <w:szCs w:val="15"/>
              </w:rPr>
              <w:t xml:space="preserve"> word choice on meaning and tone.</w:t>
            </w:r>
          </w:p>
          <w:p w:rsidR="00B72669" w:rsidRDefault="00B72669" w:rsidP="00023251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0048EE" w:rsidRDefault="00B72669" w:rsidP="00023251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B72669" w:rsidTr="00B72669">
        <w:tc>
          <w:tcPr>
            <w:tcW w:w="1080" w:type="dxa"/>
            <w:shd w:val="clear" w:color="auto" w:fill="F3F3F3"/>
          </w:tcPr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3F3F3"/>
          </w:tcPr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F3F3F3"/>
            <w:vAlign w:val="center"/>
          </w:tcPr>
          <w:p w:rsidR="00B72669" w:rsidRPr="00801799" w:rsidRDefault="00B72669" w:rsidP="00023251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B72669" w:rsidRPr="0049776F" w:rsidRDefault="00B72669" w:rsidP="0002325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2520" w:type="dxa"/>
            <w:gridSpan w:val="2"/>
            <w:shd w:val="clear" w:color="auto" w:fill="F3F3F3"/>
            <w:vAlign w:val="center"/>
          </w:tcPr>
          <w:p w:rsidR="00B72669" w:rsidRDefault="00B72669" w:rsidP="00023251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B72669" w:rsidRDefault="00B72669" w:rsidP="00023251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B72669" w:rsidRPr="00801799" w:rsidRDefault="00B72669" w:rsidP="00023251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2610" w:type="dxa"/>
            <w:shd w:val="clear" w:color="auto" w:fill="F3F3F3"/>
            <w:vAlign w:val="center"/>
          </w:tcPr>
          <w:p w:rsidR="00B72669" w:rsidRDefault="00B72669" w:rsidP="00023251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B72669" w:rsidRPr="0049776F" w:rsidRDefault="00B72669" w:rsidP="0002325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3510" w:type="dxa"/>
            <w:shd w:val="clear" w:color="auto" w:fill="F3F3F3"/>
            <w:vAlign w:val="center"/>
          </w:tcPr>
          <w:p w:rsidR="00B72669" w:rsidRDefault="00B72669" w:rsidP="00023251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B72669" w:rsidRPr="0049776F" w:rsidRDefault="00B72669" w:rsidP="00023251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</w:tr>
      <w:tr w:rsidR="00B72669" w:rsidTr="00B72669">
        <w:tc>
          <w:tcPr>
            <w:tcW w:w="1080" w:type="dxa"/>
            <w:vMerge w:val="restart"/>
            <w:vAlign w:val="center"/>
          </w:tcPr>
          <w:p w:rsidR="00B72669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B72669" w:rsidRPr="00771BFD" w:rsidRDefault="00B72669" w:rsidP="00023251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72669" w:rsidRPr="008D22A5" w:rsidRDefault="00B72669" w:rsidP="00023251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2880" w:type="dxa"/>
          </w:tcPr>
          <w:p w:rsidR="00B72669" w:rsidRDefault="00B72669" w:rsidP="0002325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B72669" w:rsidRDefault="00405210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Color, Line Space, Texture</w:t>
            </w: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520" w:type="dxa"/>
            <w:gridSpan w:val="2"/>
          </w:tcPr>
          <w:p w:rsidR="00B72669" w:rsidRDefault="00B72669" w:rsidP="0002325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B72669" w:rsidRPr="00145278" w:rsidRDefault="00B72669" w:rsidP="0040521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Use </w:t>
            </w:r>
            <w:r w:rsidR="00405210">
              <w:rPr>
                <w:rFonts w:asciiTheme="majorHAnsi" w:hAnsiTheme="majorHAnsi"/>
                <w:sz w:val="14"/>
                <w:szCs w:val="14"/>
              </w:rPr>
              <w:t>attributes of visual arts to produce and judge visual interpretations of the denotative and connotative definitions of the vocabulary words</w:t>
            </w:r>
          </w:p>
        </w:tc>
        <w:tc>
          <w:tcPr>
            <w:tcW w:w="2610" w:type="dxa"/>
          </w:tcPr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B44B60" w:rsidRDefault="00B72669" w:rsidP="00023251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</w:t>
            </w:r>
          </w:p>
          <w:p w:rsidR="00B72669" w:rsidRPr="00145278" w:rsidRDefault="00B72669" w:rsidP="0040521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Students will be formatively assessed on their ability to associate elements of </w:t>
            </w:r>
            <w:r w:rsidR="00405210">
              <w:rPr>
                <w:rFonts w:asciiTheme="majorHAnsi" w:hAnsiTheme="majorHAnsi"/>
                <w:sz w:val="14"/>
                <w:szCs w:val="14"/>
              </w:rPr>
              <w:t>visual arts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to their word definitions</w:t>
            </w:r>
          </w:p>
        </w:tc>
        <w:tc>
          <w:tcPr>
            <w:tcW w:w="3510" w:type="dxa"/>
          </w:tcPr>
          <w:p w:rsidR="00B72669" w:rsidRDefault="00B72669" w:rsidP="00023251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405210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Students will have to identify the </w:t>
            </w:r>
            <w:r w:rsidR="00405210">
              <w:rPr>
                <w:rFonts w:asciiTheme="majorHAnsi" w:hAnsiTheme="majorHAnsi"/>
                <w:sz w:val="14"/>
                <w:szCs w:val="14"/>
              </w:rPr>
              <w:t>elements of each artistic piece</w:t>
            </w:r>
          </w:p>
        </w:tc>
      </w:tr>
      <w:tr w:rsidR="00B72669" w:rsidTr="00B72669">
        <w:tc>
          <w:tcPr>
            <w:tcW w:w="1080" w:type="dxa"/>
            <w:vMerge/>
          </w:tcPr>
          <w:p w:rsidR="00B72669" w:rsidRPr="0049776F" w:rsidRDefault="00B72669" w:rsidP="00023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72669" w:rsidRDefault="00B72669" w:rsidP="00023251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B72669" w:rsidRPr="008D22A5" w:rsidRDefault="00B72669" w:rsidP="00023251">
            <w:pPr>
              <w:spacing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</w:p>
        </w:tc>
        <w:tc>
          <w:tcPr>
            <w:tcW w:w="2880" w:type="dxa"/>
          </w:tcPr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know and understand the multiple meanings of ten vocabulary words</w:t>
            </w: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520" w:type="dxa"/>
            <w:gridSpan w:val="2"/>
          </w:tcPr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be able to use contextual examples and definitions to demonstrate word meaning for other students.</w:t>
            </w:r>
          </w:p>
        </w:tc>
        <w:tc>
          <w:tcPr>
            <w:tcW w:w="2610" w:type="dxa"/>
          </w:tcPr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Students will be assessed on their group discussions on how to demonstrate word meaning and review for the test</w:t>
            </w:r>
            <w:r w:rsidR="00405210">
              <w:rPr>
                <w:rFonts w:asciiTheme="majorHAnsi" w:hAnsiTheme="majorHAnsi"/>
                <w:sz w:val="14"/>
                <w:szCs w:val="14"/>
              </w:rPr>
              <w:t>. Their judging of other representations will also give information on how well they understand certain vocabulary words</w:t>
            </w:r>
          </w:p>
        </w:tc>
        <w:tc>
          <w:tcPr>
            <w:tcW w:w="3510" w:type="dxa"/>
          </w:tcPr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Students will identify word meaning based on a short </w:t>
            </w:r>
            <w:r w:rsidR="00405210">
              <w:rPr>
                <w:rFonts w:asciiTheme="majorHAnsi" w:hAnsiTheme="majorHAnsi"/>
                <w:sz w:val="14"/>
                <w:szCs w:val="14"/>
              </w:rPr>
              <w:t>visual arts interpretation of each word</w:t>
            </w:r>
          </w:p>
          <w:p w:rsidR="00B72669" w:rsidRPr="00145278" w:rsidRDefault="00B72669" w:rsidP="00023251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</w:tr>
    </w:tbl>
    <w:p w:rsidR="001F1781" w:rsidRDefault="001F1781"/>
    <w:sectPr w:rsidR="001F1781" w:rsidSect="00B7266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72669"/>
    <w:rsid w:val="001F1781"/>
    <w:rsid w:val="00303586"/>
    <w:rsid w:val="00405210"/>
    <w:rsid w:val="00B7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66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66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05210"/>
    <w:rPr>
      <w:strike w:val="0"/>
      <w:dstrike w:val="0"/>
      <w:color w:val="8A5301"/>
      <w:u w:val="none"/>
      <w:effect w:val="none"/>
    </w:rPr>
  </w:style>
  <w:style w:type="character" w:customStyle="1" w:styleId="indicatorvalue">
    <w:name w:val="indicatorvalue"/>
    <w:basedOn w:val="DefaultParagraphFont"/>
    <w:rsid w:val="004052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openPopupWH('/share/vsc/glossary/visual_arts/observed_forms.html',200,20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PopupWH('/share/vsc/glossary/visual_arts/physical_qualities.html',200,200)" TargetMode="External"/><Relationship Id="rId5" Type="http://schemas.openxmlformats.org/officeDocument/2006/relationships/hyperlink" Target="javascript:openPopupWH('/share/vsc/glossary/visual_arts/interpret_interpretation.html',200,200)" TargetMode="External"/><Relationship Id="rId4" Type="http://schemas.openxmlformats.org/officeDocument/2006/relationships/hyperlink" Target="javascript:openPopupWH('/share/vsc/glossary/visual_arts/describe_description.html',200,200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>BCPSS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JDEassa</dc:creator>
  <cp:lastModifiedBy>Windows User</cp:lastModifiedBy>
  <cp:revision>2</cp:revision>
  <dcterms:created xsi:type="dcterms:W3CDTF">2013-02-11T22:17:00Z</dcterms:created>
  <dcterms:modified xsi:type="dcterms:W3CDTF">2013-02-11T22:17:00Z</dcterms:modified>
</cp:coreProperties>
</file>